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color w:val="000000"/>
        </w:rPr>
      </w:pPr>
      <w:r w:rsidDel="00000000" w:rsidR="00000000" w:rsidRPr="00000000">
        <w:rPr>
          <w:b w:val="1"/>
          <w:bCs w:val="1"/>
          <w:color w:val="000000"/>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color w:val="000000"/>
        </w:rPr>
      </w:pPr>
      <w:r w:rsidDel="00000000" w:rsidR="00000000" w:rsidRPr="00000000">
        <w:rPr>
          <w:b w:val="1"/>
          <w:bCs w:val="1"/>
          <w:color w:val="000000"/>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color w:val="000000"/>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RONPA0850ZPB</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sidDel="00000000" w:rsidR="00000000" w:rsidRPr="00000000">
        <w:rPr>
          <w:i w:val="1"/>
          <w:iCs w:val="1"/>
          <w:color w:val="000000"/>
          <w:sz w:val="22"/>
          <w:szCs w:val="22"/>
          <w:rtl w:val="0"/>
        </w:rPr>
        <w:t xml:space="preserve">*Codare temporară, aceasta va fi actualizată conform specificațiilor de raportare</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color w:val="000000"/>
          <w:sz w:val="22"/>
          <w:szCs w:val="22"/>
          <w:rtl w:val="0"/>
        </w:rPr>
        <w:t xml:space="preserve">1.2. Denumire ZPB</w:t>
      </w:r>
      <w:r w:rsidDel="00000000" w:rsidR="00000000" w:rsidRPr="00000000">
        <w:rPr>
          <w:rtl w:val="0"/>
        </w:rPr>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Alexeni</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color w:val="000000"/>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Ind w:w="-108.0" w:type="dxa"/>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color w:val="000000"/>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color w:val="000000"/>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M</w:t>
                  </w:r>
                  <w:r w:rsidDel="00000000" w:rsidR="00000000" w:rsidRPr="00000000">
                    <w:rPr>
                      <w:rtl w:val="0"/>
                    </w:rPr>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color w:val="000000"/>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M</w:t>
                  </w:r>
                  <w:r w:rsidDel="00000000" w:rsidR="00000000" w:rsidRPr="00000000">
                    <w:rPr>
                      <w:rtl w:val="0"/>
                    </w:rPr>
                  </w:r>
                </w:p>
              </w:tc>
            </w:tr>
          </w:tbl>
          <w:p w:rsidR="00000000" w:rsidDel="00000000" w:rsidP="00000000" w:rsidRDefault="00000000" w:rsidRPr="00000000" w14:paraId="0000002B">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bl>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color w:val="000000"/>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sz w:val="22"/>
          <w:szCs w:val="22"/>
          <w:rtl w:val="0"/>
        </w:rPr>
        <w:t xml:space="preserve">1.7. Datele indicării și desemnării ca ZPB</w:t>
      </w:r>
      <w:r w:rsidDel="00000000" w:rsidR="00000000" w:rsidRPr="00000000">
        <w:rPr>
          <w:rtl w:val="0"/>
        </w:rPr>
      </w:r>
    </w:p>
    <w:tbl>
      <w:tblPr>
        <w:tblStyle w:val="Table4"/>
        <w:tblW w:w="9000.0" w:type="dxa"/>
        <w:jc w:val="left"/>
        <w:tblInd w:w="-108.0" w:type="dxa"/>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sz w:val="22"/>
                      <w:szCs w:val="22"/>
                      <w:rtl w:val="0"/>
                    </w:rPr>
                    <w:t xml:space="preserve">M</w:t>
                  </w:r>
                  <w:r w:rsidDel="00000000" w:rsidR="00000000" w:rsidRPr="00000000">
                    <w:rPr>
                      <w:rtl w:val="0"/>
                    </w:rPr>
                  </w:r>
                </w:p>
              </w:tc>
            </w:tr>
          </w:tbl>
          <w:p w:rsidR="00000000" w:rsidDel="00000000" w:rsidP="00000000" w:rsidRDefault="00000000" w:rsidRPr="00000000" w14:paraId="0000003E">
            <w:pPr>
              <w:pBdr>
                <w:top w:space="0" w:sz="0" w:val="nil"/>
                <w:left w:space="0" w:sz="0" w:val="nil"/>
                <w:bottom w:space="0" w:sz="0" w:val="nil"/>
                <w:right w:space="0" w:sz="0" w:val="nil"/>
                <w:between w:space="0" w:sz="0" w:val="nil"/>
              </w:pBdr>
              <w:rPr>
                <w:color w:val="000000"/>
              </w:rPr>
            </w:pPr>
            <w:r w:rsidDel="00000000" w:rsidR="00000000" w:rsidRPr="00000000">
              <w:rPr>
                <w:rtl w:val="0"/>
              </w:rPr>
            </w:r>
          </w:p>
        </w:tc>
      </w:tr>
    </w:tbl>
    <w:p w:rsidR="00000000" w:rsidDel="00000000" w:rsidP="00000000" w:rsidRDefault="00000000" w:rsidRPr="00000000" w14:paraId="0000003F">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jc w:val="center"/>
        <w:rPr>
          <w:color w:val="000000"/>
        </w:rPr>
      </w:pPr>
      <w:r w:rsidDel="00000000" w:rsidR="00000000" w:rsidRPr="00000000">
        <w:rPr>
          <w:b w:val="1"/>
          <w:bCs w:val="1"/>
          <w:color w:val="000000"/>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sz w:val="22"/>
          <w:szCs w:val="22"/>
          <w:rtl w:val="0"/>
        </w:rPr>
        <w:t xml:space="preserve">2.1.</w:t>
      </w:r>
      <w:r w:rsidDel="00000000" w:rsidR="00000000" w:rsidRPr="00000000">
        <w:rPr>
          <w:b w:val="1"/>
          <w:bCs w:val="1"/>
          <w:color w:val="000000"/>
          <w:sz w:val="22"/>
          <w:szCs w:val="22"/>
          <w:rtl w:val="0"/>
        </w:rPr>
        <w:t xml:space="preserve">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37,66</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color w:val="000000"/>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100,00%</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color w:val="000000"/>
          <w:sz w:val="22"/>
          <w:szCs w:val="22"/>
          <w:rtl w:val="0"/>
        </w:rPr>
        <w:t xml:space="preserve">2.3. Încadrarea ZPB în regiunile administrative</w:t>
      </w:r>
      <w:r w:rsidDel="00000000" w:rsidR="00000000" w:rsidRPr="00000000">
        <w:rPr>
          <w:rtl w:val="0"/>
        </w:rPr>
      </w:r>
    </w:p>
    <w:tbl>
      <w:tblPr>
        <w:tblStyle w:val="Table6"/>
        <w:tblW w:w="9000.0" w:type="dxa"/>
        <w:jc w:val="left"/>
        <w:tblInd w:w="-108.0" w:type="dxa"/>
        <w:tblLayout w:type="fixed"/>
        <w:tblLook w:val="0400"/>
      </w:tblPr>
      <w:tblGrid>
        <w:gridCol w:w="3158"/>
        <w:gridCol w:w="443"/>
        <w:gridCol w:w="5399"/>
        <w:tblGridChange w:id="0">
          <w:tblGrid>
            <w:gridCol w:w="3158"/>
            <w:gridCol w:w="443"/>
            <w:gridCol w:w="5399"/>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NUTS</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RO31</w:t>
            </w:r>
            <w:r w:rsidDel="00000000" w:rsidR="00000000" w:rsidRPr="00000000">
              <w:rPr>
                <w:rtl w:val="0"/>
              </w:rPr>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Sud-Muntenia</w:t>
            </w:r>
            <w:r w:rsidDel="00000000" w:rsidR="00000000" w:rsidRPr="00000000">
              <w:rPr>
                <w:rtl w:val="0"/>
              </w:rPr>
            </w:r>
          </w:p>
        </w:tc>
      </w:tr>
    </w:tbl>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color w:val="000000"/>
          <w:sz w:val="22"/>
          <w:szCs w:val="22"/>
          <w:rtl w:val="0"/>
        </w:rPr>
        <w:t xml:space="preserve">Numele Județului/Județelor</w:t>
      </w:r>
      <w:r w:rsidDel="00000000" w:rsidR="00000000" w:rsidRPr="00000000">
        <w:rPr>
          <w:rtl w:val="0"/>
        </w:rPr>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Ialomița</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b w:val="1"/>
          <w:bCs w:val="1"/>
          <w:color w:val="000000"/>
          <w:sz w:val="22"/>
          <w:szCs w:val="22"/>
          <w:rtl w:val="0"/>
        </w:rPr>
        <w:t xml:space="preserve">2.4. Încadrarea ZPB în regiunile biogeografice</w:t>
      </w:r>
      <w:r w:rsidDel="00000000" w:rsidR="00000000" w:rsidRPr="00000000">
        <w:rPr>
          <w:rtl w:val="0"/>
        </w:rPr>
      </w:r>
    </w:p>
    <w:tbl>
      <w:tblPr>
        <w:tblStyle w:val="Table7"/>
        <w:tblW w:w="9000.0" w:type="dxa"/>
        <w:jc w:val="left"/>
        <w:tblInd w:w="-108.0" w:type="dxa"/>
        <w:tblLayout w:type="fixed"/>
        <w:tblLook w:val="0400"/>
      </w:tblPr>
      <w:tblGrid>
        <w:gridCol w:w="2810"/>
        <w:gridCol w:w="236"/>
        <w:gridCol w:w="2881"/>
        <w:gridCol w:w="236"/>
        <w:gridCol w:w="2837"/>
        <w:tblGridChange w:id="0">
          <w:tblGrid>
            <w:gridCol w:w="2810"/>
            <w:gridCol w:w="236"/>
            <w:gridCol w:w="2881"/>
            <w:gridCol w:w="236"/>
            <w:gridCol w:w="2837"/>
          </w:tblGrid>
        </w:tblGridChange>
      </w:tblGrid>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Alpină %</w:t>
            </w: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Stepică 100%</w:t>
            </w:r>
            <w:r w:rsidDel="00000000" w:rsidR="00000000" w:rsidRPr="00000000">
              <w:rPr>
                <w:rtl w:val="0"/>
              </w:rPr>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rPr>
                <w:color w:val="000000"/>
              </w:rPr>
            </w:pP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pBdr>
          <w:top w:space="0" w:sz="0" w:val="nil"/>
          <w:left w:space="0" w:sz="0" w:val="nil"/>
          <w:bottom w:space="0" w:sz="0" w:val="nil"/>
          <w:right w:space="0" w:sz="0" w:val="nil"/>
          <w:between w:space="0" w:sz="0" w:val="nil"/>
        </w:pBdr>
        <w:spacing w:before="240" w:line="240" w:lineRule="auto"/>
        <w:jc w:val="center"/>
        <w:rPr>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color w:val="000000"/>
        </w:rPr>
      </w:pPr>
      <w:r w:rsidDel="00000000" w:rsidR="00000000" w:rsidRPr="00000000">
        <w:rPr>
          <w:b w:val="1"/>
          <w:bCs w:val="1"/>
          <w:color w:val="000000"/>
          <w:sz w:val="22"/>
          <w:szCs w:val="22"/>
          <w:rtl w:val="0"/>
        </w:rPr>
        <w:t xml:space="preserve">3. Descrierea Zonelor Prioritare pentru Biodiversitate  (ZPB) distincte de</w:t>
      </w:r>
      <w:r w:rsidDel="00000000" w:rsidR="00000000" w:rsidRPr="00000000">
        <w:rPr>
          <w:color w:val="000000"/>
          <w:rtl w:val="0"/>
        </w:rPr>
        <w:br w:type="textWrapping"/>
      </w:r>
      <w:r w:rsidDel="00000000" w:rsidR="00000000" w:rsidRPr="00000000">
        <w:rPr>
          <w:b w:val="1"/>
          <w:bCs w:val="1"/>
          <w:color w:val="000000"/>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before="240" w:line="240" w:lineRule="auto"/>
        <w:jc w:val="both"/>
        <w:rPr>
          <w:color w:val="000000"/>
        </w:rPr>
      </w:pPr>
      <w:r w:rsidDel="00000000" w:rsidR="00000000" w:rsidRPr="00000000">
        <w:rPr>
          <w:b w:val="1"/>
          <w:bCs w:val="1"/>
          <w:color w:val="000000"/>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1</w:t>
      </w:r>
    </w:p>
    <w:p w:rsidR="00000000" w:rsidDel="00000000" w:rsidP="00000000" w:rsidRDefault="00000000" w:rsidRPr="00000000" w14:paraId="00000063">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Suprafața totală a ZPB (ha)</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37,66</w:t>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color w:val="000000"/>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space="0" w:sz="0" w:val="nil"/>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Guvernului nr. 2151/2004 privind instituirea regimului de arie naturală protejată pentru noi zone: monument al naturii RONPA0850 Pădurea Alexeni;</w:t>
      </w:r>
    </w:p>
    <w:p w:rsidR="00000000" w:rsidDel="00000000" w:rsidP="00000000" w:rsidRDefault="00000000" w:rsidRPr="00000000" w14:paraId="0000006C">
      <w:pPr>
        <w:pBdr>
          <w:top w:space="0" w:sz="0" w:val="nil"/>
          <w:left w:color="000000" w:space="0" w:sz="6" w:val="single"/>
          <w:bottom w:space="0" w:sz="0" w:val="nil"/>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si pădurilor nr. 1.851/2024 privind aprobarea Planului de management al sitului Natura 2000 ROSCI0290 Coridorul Ialomiței, al sitului Natura 2000 ROSPA0152 Coridorul Ialomiței și al ariei naturale protejate de interes național Pădurea Alexeni - cod III.2 (RONPA0850);</w:t>
      </w:r>
    </w:p>
    <w:p w:rsidR="00000000" w:rsidDel="00000000" w:rsidP="00000000" w:rsidRDefault="00000000" w:rsidRPr="00000000" w14:paraId="0000006D">
      <w:pPr>
        <w:pBdr>
          <w:top w:space="0" w:sz="0" w:val="nil"/>
          <w:left w:color="000000" w:space="0" w:sz="6" w:val="single"/>
          <w:bottom w:space="0" w:sz="0" w:val="nil"/>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E">
      <w:pPr>
        <w:pBdr>
          <w:top w:space="0" w:sz="0" w:val="nil"/>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240" w:line="240" w:lineRule="auto"/>
        <w:rPr>
          <w:color w:val="000000"/>
        </w:rPr>
      </w:pPr>
      <w:r w:rsidDel="00000000" w:rsidR="00000000" w:rsidRPr="00000000">
        <w:rPr>
          <w:color w:val="000000"/>
          <w:sz w:val="22"/>
          <w:szCs w:val="22"/>
          <w:rtl w:val="0"/>
        </w:rPr>
        <w:t xml:space="preserve">Informația ecologică</w:t>
      </w:r>
      <w:r w:rsidDel="00000000" w:rsidR="00000000" w:rsidRPr="00000000">
        <w:rPr>
          <w:rtl w:val="0"/>
        </w:rPr>
      </w:r>
    </w:p>
    <w:tbl>
      <w:tblPr>
        <w:tblStyle w:val="Table8"/>
        <w:tblW w:w="9000.0" w:type="dxa"/>
        <w:jc w:val="left"/>
        <w:tblInd w:w="-108.0" w:type="dxa"/>
        <w:tblLayout w:type="fixed"/>
        <w:tblLook w:val="0400"/>
      </w:tblPr>
      <w:tblGrid>
        <w:gridCol w:w="4510"/>
        <w:gridCol w:w="4490"/>
        <w:tblGridChange w:id="0">
          <w:tblGrid>
            <w:gridCol w:w="4510"/>
            <w:gridCol w:w="44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b w:val="1"/>
                <w:bCs w:val="1"/>
                <w:color w:val="000000"/>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b w:val="1"/>
                <w:bCs w:val="1"/>
                <w:color w:val="000000"/>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jc w:val="both"/>
              <w:rPr>
                <w:b w:val="1"/>
                <w:bCs w:val="1"/>
                <w:color w:val="000000"/>
                <w:sz w:val="22"/>
                <w:szCs w:val="22"/>
              </w:rPr>
            </w:pPr>
            <w:r w:rsidDel="00000000" w:rsidR="00000000" w:rsidRPr="00000000">
              <w:rPr>
                <w:b w:val="1"/>
                <w:bCs w:val="1"/>
                <w:color w:val="000000"/>
                <w:sz w:val="22"/>
                <w:szCs w:val="22"/>
                <w:rtl w:val="0"/>
              </w:rPr>
              <w:t xml:space="preserve">Habitate de păduri temperate europene:</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91I0*</w:t>
            </w:r>
            <w:r w:rsidDel="00000000" w:rsidR="00000000" w:rsidRPr="00000000">
              <w:rPr>
                <w:color w:val="000000"/>
                <w:rtl w:val="0"/>
              </w:rPr>
              <w:t xml:space="preserve"> </w:t>
            </w:r>
            <w:r w:rsidDel="00000000" w:rsidR="00000000" w:rsidRPr="00000000">
              <w:rPr>
                <w:color w:val="000000"/>
                <w:sz w:val="22"/>
                <w:szCs w:val="22"/>
                <w:rtl w:val="0"/>
              </w:rPr>
              <w:t xml:space="preserve">Păduri stepice euro-siberiene de </w:t>
            </w:r>
            <w:r w:rsidDel="00000000" w:rsidR="00000000" w:rsidRPr="00000000">
              <w:rPr>
                <w:i w:val="1"/>
                <w:iCs w:val="1"/>
                <w:color w:val="000000"/>
                <w:sz w:val="22"/>
                <w:szCs w:val="22"/>
                <w:rtl w:val="0"/>
              </w:rPr>
              <w:t xml:space="preserve">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sz w:val="22"/>
                <w:szCs w:val="22"/>
                <w:rtl w:val="0"/>
              </w:rPr>
              <w:t xml:space="preserve">Nevertebrate:</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sz w:val="22"/>
                <w:szCs w:val="22"/>
                <w:rtl w:val="0"/>
              </w:rPr>
              <w:t xml:space="preserve">1083 Lucanus cervus</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sidDel="00000000" w:rsidR="00000000" w:rsidRPr="00000000">
              <w:rPr>
                <w:b w:val="1"/>
                <w:bCs w:val="1"/>
                <w:color w:val="000000"/>
                <w:sz w:val="22"/>
                <w:szCs w:val="22"/>
                <w:rtl w:val="0"/>
              </w:rPr>
              <w:t xml:space="preserve">Păsări:</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A208 Columba palumbus</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A099 Falco subbuteo</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A096 Falco tinnunculus</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A338 Lanius collurio</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A339 Lanius minor</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sidDel="00000000" w:rsidR="00000000" w:rsidRPr="00000000">
              <w:rPr>
                <w:i w:val="1"/>
                <w:iCs w:val="1"/>
                <w:color w:val="000000"/>
                <w:sz w:val="22"/>
                <w:szCs w:val="22"/>
                <w:rtl w:val="0"/>
              </w:rPr>
              <w:t xml:space="preserve">A383 Emberiza calandra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Quercus robur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b w:val="1"/>
                <w:bCs w:val="1"/>
                <w:color w:val="000000"/>
                <w:sz w:val="22"/>
                <w:szCs w:val="22"/>
                <w:rtl w:val="0"/>
              </w:rPr>
              <w:t xml:space="preserve">Obiective și măsuri în regim de non-intervenție pentru arborii monument</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Menținerea pe termen lung a populației de stejari seculari (</w:t>
            </w:r>
            <w:r w:rsidDel="00000000" w:rsidR="00000000" w:rsidRPr="00000000">
              <w:rPr>
                <w:i w:val="1"/>
                <w:iCs w:val="1"/>
                <w:color w:val="000000"/>
                <w:sz w:val="22"/>
                <w:szCs w:val="22"/>
                <w:rtl w:val="0"/>
              </w:rPr>
              <w:t xml:space="preserve">Quercus pubescens</w:t>
            </w:r>
            <w:r w:rsidDel="00000000" w:rsidR="00000000" w:rsidRPr="00000000">
              <w:rPr>
                <w:color w:val="000000"/>
                <w:sz w:val="22"/>
                <w:szCs w:val="22"/>
                <w:rtl w:val="0"/>
              </w:rPr>
              <w:t xml:space="preserve">) care au fundamentat desemnarea monumentului naturii Pădurea Alexeni, precum și conservarea habitatului și a condițiilor ecologice necesare supraviețuirii, regenerării și valorificării rolului lor pentru biodiversitate.</w:t>
            </w:r>
          </w:p>
          <w:p w:rsidR="00000000" w:rsidDel="00000000" w:rsidP="00000000" w:rsidRDefault="00000000" w:rsidRPr="00000000" w14:paraId="0000008B">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1. Menținerea într-o stare favorabilă de conservare a tuturor exemplarelor de stejar secular existente în cadrul ZPB. </w:t>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2. Asigurarea protecției arborilor monumentali împotriva tăierilor, deteriorărilor, incendiilor, pășunatului excesiv și altor activități care le pot afecta integritatea. </w:t>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3. Menținerea condițiilor ecologice și a spațiului necesar dezvoltării și regenerării naturale a stejarului pufos (</w:t>
            </w:r>
            <w:r w:rsidDel="00000000" w:rsidR="00000000" w:rsidRPr="00000000">
              <w:rPr>
                <w:i w:val="1"/>
                <w:iCs w:val="1"/>
                <w:color w:val="000000"/>
                <w:sz w:val="22"/>
                <w:szCs w:val="22"/>
                <w:rtl w:val="0"/>
              </w:rPr>
              <w:t xml:space="preserve">Quercus pubescens</w:t>
            </w:r>
            <w:r w:rsidDel="00000000" w:rsidR="00000000" w:rsidRPr="00000000">
              <w:rPr>
                <w:color w:val="000000"/>
                <w:sz w:val="22"/>
                <w:szCs w:val="22"/>
                <w:rtl w:val="0"/>
              </w:rPr>
              <w:t xml:space="preserve">). </w:t>
            </w:r>
          </w:p>
          <w:p w:rsidR="00000000" w:rsidDel="00000000" w:rsidP="00000000" w:rsidRDefault="00000000" w:rsidRPr="00000000" w14:paraId="0000008F">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4. Conservarea habitatelor și microhabitatelor asociate arborilor seculari, importante pentru păsări, mamifere mici, nevertebrate și alte specii de interes conservativ. </w:t>
            </w:r>
          </w:p>
          <w:p w:rsidR="00000000" w:rsidDel="00000000" w:rsidP="00000000" w:rsidRDefault="00000000" w:rsidRPr="00000000" w14:paraId="00000090">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5. Monitorizarea periodică a stării fitosanitare a arborilor protejați și a factorilor de presiune care pot afecta conservarea acestora.</w:t>
            </w:r>
          </w:p>
          <w:p w:rsidR="00000000" w:rsidDel="00000000" w:rsidP="00000000" w:rsidRDefault="00000000" w:rsidRPr="00000000" w14:paraId="00000091">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1. Se interzice tăierea, rănirea, incendierea, extragerea sau orice intervenție care poate afecta integritatea exemplarelor de stejar secular care au stat la baza desemnării ariei protejate.</w:t>
            </w:r>
          </w:p>
          <w:p w:rsidR="00000000" w:rsidDel="00000000" w:rsidP="00000000" w:rsidRDefault="00000000" w:rsidRPr="00000000" w14:paraId="00000093">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2. Se interzic lucrările și activitățile susceptibile să afecteze stabilitatea și viabilitatea arborilor protejați, inclusiv compactarea solului, modificarea nivelului terenului, săpăturile, depozitarea de materiale și alte intervenții care pot afecta sistemul radicular al acestora.</w:t>
            </w:r>
          </w:p>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3. Se urmărește conservarea puieților și a exemplarelor tinere de stejar existente în perimetru și evitarea activităților care împiedică regenerarea naturală a speciei.</w:t>
            </w:r>
          </w:p>
          <w:p w:rsidR="00000000" w:rsidDel="00000000" w:rsidP="00000000" w:rsidRDefault="00000000" w:rsidRPr="00000000" w14:paraId="00000095">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4.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5. Se realizează periodic evaluarea stării fitosanitare a stejarilor seculari, a regenerării naturale, a eventualelor atacuri de dăunători, a efectelor secetei și a altor factori de risc.</w:t>
            </w:r>
          </w:p>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6. Se identifică și, după caz, se elimină speciile alogene invazive care pot afecta regenerarea stejarului sau caracteristicile habitatului.</w:t>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7.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9A">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B">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D">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4">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6">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color w:val="000000"/>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rPr>
                <w:color w:val="000000"/>
                <w:sz w:val="22"/>
                <w:szCs w:val="22"/>
              </w:rPr>
            </w:pPr>
            <w:r w:rsidDel="00000000" w:rsidR="00000000" w:rsidRPr="00000000">
              <w:rPr>
                <w:color w:val="000000"/>
                <w:sz w:val="22"/>
                <w:szCs w:val="22"/>
                <w:rtl w:val="0"/>
              </w:rPr>
              <w:t xml:space="preserve">Publică</w:t>
            </w:r>
          </w:p>
        </w:tc>
      </w:tr>
    </w:tbl>
    <w:p w:rsidR="00000000" w:rsidDel="00000000" w:rsidP="00000000" w:rsidRDefault="00000000" w:rsidRPr="00000000" w14:paraId="000000B9">
      <w:pPr>
        <w:pBdr>
          <w:top w:space="0" w:sz="0" w:val="nil"/>
          <w:left w:space="0" w:sz="0" w:val="nil"/>
          <w:bottom w:space="0" w:sz="0" w:val="nil"/>
          <w:right w:space="0" w:sz="0" w:val="nil"/>
          <w:between w:space="0" w:sz="0" w:val="nil"/>
        </w:pBdr>
        <w:spacing w:before="240" w:line="240" w:lineRule="auto"/>
        <w:jc w:val="center"/>
        <w:rPr>
          <w:color w:val="000000"/>
        </w:rPr>
      </w:pPr>
      <w:r w:rsidDel="00000000" w:rsidR="00000000" w:rsidRPr="00000000">
        <w:rPr>
          <w:b w:val="1"/>
          <w:bCs w:val="1"/>
          <w:color w:val="000000"/>
          <w:sz w:val="22"/>
          <w:szCs w:val="22"/>
          <w:rtl w:val="0"/>
        </w:rPr>
        <w:t xml:space="preserve">3.3. Bibliografie</w:t>
      </w:r>
      <w:r w:rsidDel="00000000" w:rsidR="00000000" w:rsidRPr="00000000">
        <w:rPr>
          <w:rtl w:val="0"/>
        </w:rPr>
      </w:r>
    </w:p>
    <w:p w:rsidR="00000000" w:rsidDel="00000000" w:rsidP="00000000" w:rsidRDefault="00000000" w:rsidRPr="00000000" w14:paraId="000000BA">
      <w:pPr>
        <w:pBdr>
          <w:top w:color="000000" w:space="0" w:sz="6" w:val="single"/>
          <w:left w:color="000000" w:space="0" w:sz="6" w:val="single"/>
          <w:bottom w:space="0" w:sz="0" w:val="nil"/>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 “Stațiuni forestiere”, Vol. II, Ed. Academiei R.S.R., București;</w:t>
      </w:r>
    </w:p>
    <w:p w:rsidR="00000000" w:rsidDel="00000000" w:rsidP="00000000" w:rsidRDefault="00000000" w:rsidRPr="00000000" w14:paraId="000000BB">
      <w:pPr>
        <w:pBdr>
          <w:top w:space="0" w:sz="0" w:val="nil"/>
          <w:left w:color="000000" w:space="0" w:sz="6" w:val="single"/>
          <w:bottom w:space="0" w:sz="0" w:val="nil"/>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 Ecologie forestieră (cu elemente de ecologie generală), Ed. Ceres;</w:t>
      </w:r>
    </w:p>
    <w:p w:rsidR="00000000" w:rsidDel="00000000" w:rsidP="00000000" w:rsidRDefault="00000000" w:rsidRPr="00000000" w14:paraId="000000BC">
      <w:pPr>
        <w:pBdr>
          <w:top w:space="0" w:sz="0" w:val="nil"/>
          <w:left w:color="000000" w:space="0" w:sz="6" w:val="single"/>
          <w:bottom w:space="0" w:sz="0" w:val="nil"/>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Doniță N., Popescu A., Pauca-Comanescu M., Mihailescu S., Biris I. 2005 - “Habitatele din Romania”, Ed. Tehnicã Silvicã, București;</w:t>
      </w:r>
    </w:p>
    <w:p w:rsidR="00000000" w:rsidDel="00000000" w:rsidP="00000000" w:rsidRDefault="00000000" w:rsidRPr="00000000" w14:paraId="000000BD">
      <w:pPr>
        <w:pBdr>
          <w:top w:space="0" w:sz="0" w:val="nil"/>
          <w:left w:color="000000" w:space="0" w:sz="6" w:val="single"/>
          <w:bottom w:space="0" w:sz="0" w:val="nil"/>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BE">
      <w:pPr>
        <w:pBdr>
          <w:top w:space="0" w:sz="0" w:val="nil"/>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jc w:val="center"/>
        <w:rPr>
          <w:color w:val="000000"/>
        </w:rPr>
      </w:pPr>
      <w:r w:rsidDel="00000000" w:rsidR="00000000" w:rsidRPr="00000000">
        <w:rPr>
          <w:b w:val="1"/>
          <w:bCs w:val="1"/>
          <w:color w:val="000000"/>
          <w:sz w:val="22"/>
          <w:szCs w:val="22"/>
          <w:rtl w:val="0"/>
        </w:rPr>
        <w:t xml:space="preserve">4. Consultări publice cu privire la desemnarea</w:t>
      </w:r>
      <w:r w:rsidDel="00000000" w:rsidR="00000000" w:rsidRPr="00000000">
        <w:rPr>
          <w:color w:val="000000"/>
          <w:rtl w:val="0"/>
        </w:rPr>
        <w:br w:type="textWrapping"/>
      </w:r>
      <w:r w:rsidDel="00000000" w:rsidR="00000000" w:rsidRPr="00000000">
        <w:rPr>
          <w:b w:val="1"/>
          <w:bCs w:val="1"/>
          <w:color w:val="000000"/>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rPr>
          <w:color w:val="000000"/>
        </w:rPr>
      </w:pPr>
      <w:r w:rsidDel="00000000" w:rsidR="00000000" w:rsidRPr="00000000">
        <w:rPr>
          <w:color w:val="000000"/>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2">
      <w:pPr>
        <w:pBdr>
          <w:top w:color="000000" w:space="0" w:sz="6" w:val="single"/>
          <w:left w:color="000000" w:space="0" w:sz="6" w:val="single"/>
          <w:bottom w:space="0" w:sz="0" w:val="nil"/>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25 noiembrie 2024 - Slobozia, 23 mai 2025 - DS Ialomița.</w:t>
      </w:r>
    </w:p>
    <w:p w:rsidR="00000000" w:rsidDel="00000000" w:rsidP="00000000" w:rsidRDefault="00000000" w:rsidRPr="00000000" w14:paraId="000000C3">
      <w:pPr>
        <w:pBdr>
          <w:top w:space="0" w:sz="0" w:val="nil"/>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29 ianuarie 2026 </w:t>
      </w:r>
      <w:r w:rsidDel="00000000" w:rsidR="00000000" w:rsidRPr="00000000">
        <w:rPr>
          <w:color w:val="000000"/>
          <w:sz w:val="22"/>
          <w:szCs w:val="22"/>
          <w:rtl w:val="0"/>
        </w:rPr>
        <w:t xml:space="preserve">cu participarea factorilor interesați relevanți din județul Ialomița.</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before="240" w:line="240" w:lineRule="auto"/>
        <w:jc w:val="center"/>
        <w:rPr>
          <w:color w:val="00000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jc w:val="center"/>
        <w:rPr>
          <w:color w:val="000000"/>
        </w:rPr>
      </w:pPr>
      <w:r w:rsidDel="00000000" w:rsidR="00000000" w:rsidRPr="00000000">
        <w:rPr>
          <w:b w:val="1"/>
          <w:bCs w:val="1"/>
          <w:color w:val="000000"/>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rPr>
          <w:color w:val="000000"/>
          <w:sz w:val="22"/>
          <w:szCs w:val="22"/>
        </w:rPr>
      </w:pPr>
      <w:r w:rsidDel="00000000" w:rsidR="00000000" w:rsidRPr="00000000">
        <w:rPr>
          <w:color w:val="000000"/>
          <w:sz w:val="22"/>
          <w:szCs w:val="22"/>
          <w:rtl w:val="0"/>
        </w:rPr>
        <w:t xml:space="preserve">Limitele Zonelor Prioritare pentru Biodiversitate sunt disponibile în format digital:</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rPr>
          <w:color w:val="000000"/>
          <w:sz w:val="22"/>
          <w:szCs w:val="22"/>
        </w:rPr>
      </w:pPr>
      <w:r w:rsidDel="00000000" w:rsidR="00000000" w:rsidRPr="00000000">
        <w:rPr>
          <w:color w:val="000000"/>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color w:val="000000"/>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240" w:lineRule="auto"/>
    </w:pPr>
    <w:rPr>
      <w:b w:val="1"/>
      <w:bCs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160" w:line="24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240" w:lineRule="auto"/>
    </w:pPr>
    <w:rPr>
      <w:b w:val="1"/>
      <w:bCs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240" w:lineRule="auto"/>
    </w:pPr>
    <w:rPr>
      <w:b w:val="1"/>
      <w:bCs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240" w:lineRule="auto"/>
    </w:pPr>
    <w:rPr>
      <w:b w:val="1"/>
      <w:bCs w:val="1"/>
      <w:color w:val="000000"/>
      <w:sz w:val="22"/>
      <w:szCs w:val="22"/>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240" w:lineRule="auto"/>
    </w:pPr>
    <w:rPr>
      <w:b w:val="1"/>
      <w:bCs w:val="1"/>
      <w:color w:val="00000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240" w:lineRule="auto"/>
    </w:pPr>
    <w:rPr>
      <w:b w:val="1"/>
      <w:bCs w:val="1"/>
      <w:color w:val="000000"/>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24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mp09lHlF/xAzcVC6fBGdqsqT6g==">CgMxLjA4AHIhMXlDMmM0T3A1Ymk4YmluVFJmSzNXUDgzWlFpZUZReFZE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